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0" w:rsidRPr="00E267A0" w:rsidRDefault="006913E3" w:rsidP="006913E3">
      <w:pPr>
        <w:tabs>
          <w:tab w:val="center" w:pos="4419"/>
          <w:tab w:val="right" w:pos="8838"/>
        </w:tabs>
        <w:spacing w:after="0"/>
        <w:rPr>
          <w:rFonts w:ascii="Verdana" w:hAnsi="Verdana"/>
          <w:sz w:val="16"/>
          <w:szCs w:val="16"/>
        </w:rPr>
      </w:pPr>
      <w:r>
        <w:rPr>
          <w:rFonts w:ascii="Verdana" w:hAnsi="Verdana"/>
          <w:sz w:val="16"/>
          <w:szCs w:val="16"/>
        </w:rPr>
        <w:t xml:space="preserve">            </w:t>
      </w:r>
    </w:p>
    <w:p w:rsidR="003829EB" w:rsidRPr="00E267A0" w:rsidRDefault="00E267A0" w:rsidP="00E267A0">
      <w:pPr>
        <w:autoSpaceDE w:val="0"/>
        <w:autoSpaceDN w:val="0"/>
        <w:adjustRightInd w:val="0"/>
        <w:spacing w:after="0" w:line="240" w:lineRule="auto"/>
        <w:jc w:val="center"/>
        <w:rPr>
          <w:rFonts w:ascii="UnitPro-Light" w:hAnsi="UnitPro-Light" w:cs="UnitPro-Light"/>
          <w:b/>
          <w:color w:val="000000"/>
        </w:rPr>
      </w:pPr>
      <w:r w:rsidRPr="00E267A0">
        <w:rPr>
          <w:rFonts w:ascii="UnitPro-Light" w:hAnsi="UnitPro-Light" w:cs="UnitPro-Light"/>
          <w:b/>
          <w:color w:val="000000"/>
        </w:rPr>
        <w:t>GUÍA N° 1 DE QUÍMICA</w:t>
      </w:r>
    </w:p>
    <w:p w:rsidR="003829EB" w:rsidRDefault="003829EB" w:rsidP="00B45681">
      <w:pPr>
        <w:autoSpaceDE w:val="0"/>
        <w:autoSpaceDN w:val="0"/>
        <w:adjustRightInd w:val="0"/>
        <w:spacing w:after="0" w:line="240" w:lineRule="auto"/>
        <w:jc w:val="both"/>
        <w:rPr>
          <w:rFonts w:ascii="UnitPro-Light" w:hAnsi="UnitPro-Light" w:cs="UnitPro-Light"/>
          <w:color w:val="000000"/>
        </w:rPr>
      </w:pPr>
    </w:p>
    <w:p w:rsidR="003829EB" w:rsidRDefault="00E267A0" w:rsidP="00B45681">
      <w:pPr>
        <w:autoSpaceDE w:val="0"/>
        <w:autoSpaceDN w:val="0"/>
        <w:adjustRightInd w:val="0"/>
        <w:spacing w:after="0" w:line="240" w:lineRule="auto"/>
        <w:jc w:val="both"/>
        <w:rPr>
          <w:rFonts w:ascii="UnitPro-Light" w:hAnsi="UnitPro-Light" w:cs="UnitPro-Light"/>
          <w:color w:val="000000"/>
        </w:rPr>
      </w:pPr>
      <w:r w:rsidRPr="00AF00E5">
        <w:rPr>
          <w:rFonts w:ascii="UnitPro-Light" w:hAnsi="UnitPro-Light" w:cs="UnitPro-Light"/>
          <w:b/>
          <w:color w:val="000000"/>
        </w:rPr>
        <w:t>Clase 1</w:t>
      </w:r>
      <w:r>
        <w:rPr>
          <w:rFonts w:ascii="UnitPro-Light" w:hAnsi="UnitPro-Light" w:cs="UnitPro-Light"/>
          <w:color w:val="000000"/>
        </w:rPr>
        <w:t>: Introducción a la química orgánica.</w:t>
      </w:r>
    </w:p>
    <w:p w:rsidR="00E267A0" w:rsidRDefault="00E267A0" w:rsidP="00B45681">
      <w:pPr>
        <w:autoSpaceDE w:val="0"/>
        <w:autoSpaceDN w:val="0"/>
        <w:adjustRightInd w:val="0"/>
        <w:spacing w:after="0" w:line="240" w:lineRule="auto"/>
        <w:jc w:val="both"/>
        <w:rPr>
          <w:rFonts w:ascii="UnitPro-Light" w:hAnsi="UnitPro-Light" w:cs="UnitPro-Light"/>
          <w:color w:val="000000"/>
        </w:rPr>
      </w:pPr>
      <w:r w:rsidRPr="00AF00E5">
        <w:rPr>
          <w:rFonts w:ascii="UnitPro-Light" w:hAnsi="UnitPro-Light" w:cs="UnitPro-Light"/>
          <w:b/>
          <w:color w:val="000000"/>
        </w:rPr>
        <w:t xml:space="preserve">Objetivo del Aprendizaje: </w:t>
      </w:r>
      <w:r>
        <w:rPr>
          <w:rFonts w:ascii="UnitPro-Light" w:hAnsi="UnitPro-Light" w:cs="UnitPro-Light"/>
          <w:color w:val="000000"/>
        </w:rPr>
        <w:t>Reconocer las propiedades periódicas de algunos átomos de interés para la química orgánica. Analizar el comportamiento electrónico de los tipos de enlace que pueden experimentar los compuestos químicos.</w:t>
      </w:r>
    </w:p>
    <w:p w:rsidR="00AF00E5" w:rsidRDefault="00AF00E5" w:rsidP="00B45681">
      <w:pPr>
        <w:autoSpaceDE w:val="0"/>
        <w:autoSpaceDN w:val="0"/>
        <w:adjustRightInd w:val="0"/>
        <w:spacing w:after="0" w:line="240" w:lineRule="auto"/>
        <w:jc w:val="both"/>
        <w:rPr>
          <w:rFonts w:ascii="UnitPro-Light" w:hAnsi="UnitPro-Light" w:cs="UnitPro-Light"/>
          <w:color w:val="000000"/>
        </w:rPr>
      </w:pPr>
      <w:r w:rsidRPr="00AF00E5">
        <w:rPr>
          <w:rFonts w:ascii="UnitPro-Light" w:hAnsi="UnitPro-Light" w:cs="UnitPro-Light"/>
          <w:b/>
          <w:color w:val="000000"/>
        </w:rPr>
        <w:t>Correo Electrónico del docente y asistente PIE:</w:t>
      </w:r>
      <w:r>
        <w:rPr>
          <w:rFonts w:ascii="UnitPro-Light" w:hAnsi="UnitPro-Light" w:cs="UnitPro-Light"/>
          <w:b/>
          <w:color w:val="000000"/>
        </w:rPr>
        <w:t xml:space="preserve"> </w:t>
      </w:r>
      <w:hyperlink r:id="rId8" w:history="1">
        <w:r w:rsidR="00F12D13" w:rsidRPr="0068153D">
          <w:rPr>
            <w:rStyle w:val="Hipervnculo"/>
            <w:rFonts w:ascii="UnitPro-Light" w:hAnsi="UnitPro-Light" w:cs="UnitPro-Light"/>
          </w:rPr>
          <w:t>jherrera@liceomixto.cl</w:t>
        </w:r>
      </w:hyperlink>
      <w:r w:rsidR="003714DA">
        <w:rPr>
          <w:rFonts w:ascii="UnitPro-Light" w:hAnsi="UnitPro-Light" w:cs="UnitPro-Light"/>
          <w:color w:val="000000"/>
        </w:rPr>
        <w:t xml:space="preserve"> – Mhererrag@liceomixto.cl</w:t>
      </w:r>
    </w:p>
    <w:p w:rsidR="006913E3" w:rsidRDefault="00F12D13" w:rsidP="00B45681">
      <w:pPr>
        <w:autoSpaceDE w:val="0"/>
        <w:autoSpaceDN w:val="0"/>
        <w:adjustRightInd w:val="0"/>
        <w:spacing w:after="0" w:line="240" w:lineRule="auto"/>
        <w:jc w:val="both"/>
        <w:rPr>
          <w:rFonts w:ascii="UnitPro-Light" w:hAnsi="UnitPro-Light" w:cs="UnitPro-Light"/>
          <w:color w:val="000000"/>
        </w:rPr>
      </w:pPr>
      <w:r w:rsidRPr="00F12D13">
        <w:rPr>
          <w:rFonts w:ascii="UnitPro-Light" w:hAnsi="UnitPro-Light" w:cs="UnitPro-Light"/>
          <w:b/>
          <w:color w:val="000000"/>
        </w:rPr>
        <w:t xml:space="preserve">Instrucciones: </w:t>
      </w:r>
      <w:r w:rsidR="00ED4F81">
        <w:rPr>
          <w:rFonts w:ascii="UnitPro-Light" w:hAnsi="UnitPro-Light" w:cs="UnitPro-Light"/>
          <w:color w:val="000000"/>
        </w:rPr>
        <w:t xml:space="preserve">Resolver guía con los conceptos previos arrastrados de 1° Medio, si necesitas información adicional, puedes recurrir al libro de 2° Medio o buscar información en la web </w:t>
      </w:r>
      <w:r w:rsidR="00AD273E">
        <w:rPr>
          <w:rFonts w:ascii="UnitPro-Light" w:hAnsi="UnitPro-Light" w:cs="UnitPro-Light"/>
          <w:color w:val="000000"/>
        </w:rPr>
        <w:t>(</w:t>
      </w:r>
      <w:r w:rsidR="00AD273E" w:rsidRPr="00AD273E">
        <w:rPr>
          <w:rFonts w:ascii="UnitPro-Light" w:hAnsi="UnitPro-Light" w:cs="UnitPro-Light"/>
          <w:b/>
          <w:color w:val="000000"/>
          <w:u w:val="single"/>
        </w:rPr>
        <w:t>aprendoenlinea.mineduc.cl</w:t>
      </w:r>
      <w:r w:rsidR="00AD273E">
        <w:rPr>
          <w:rFonts w:ascii="UnitPro-Light" w:hAnsi="UnitPro-Light" w:cs="UnitPro-Light"/>
          <w:color w:val="000000"/>
        </w:rPr>
        <w:t xml:space="preserve">) </w:t>
      </w:r>
      <w:r w:rsidR="00ED4F81">
        <w:rPr>
          <w:rFonts w:ascii="UnitPro-Light" w:hAnsi="UnitPro-Light" w:cs="UnitPro-Light"/>
          <w:color w:val="000000"/>
        </w:rPr>
        <w:t>en relación a enlace químico y configuración electrónica. Las</w:t>
      </w:r>
      <w:bookmarkStart w:id="0" w:name="_GoBack"/>
      <w:bookmarkEnd w:id="0"/>
      <w:r w:rsidR="00ED4F81">
        <w:rPr>
          <w:rFonts w:ascii="UnitPro-Light" w:hAnsi="UnitPro-Light" w:cs="UnitPro-Light"/>
          <w:color w:val="000000"/>
        </w:rPr>
        <w:t xml:space="preserve"> guías que se realizaran serán ponderadas con un total de un 40 % de la evaluación final, es decir, si son 2 o 5 guías, ese porcentaje se divide hasta dar un 40 %. La evaluación final será de un 60 %.</w:t>
      </w:r>
    </w:p>
    <w:p w:rsidR="00ED4F81" w:rsidRPr="00ED4F81" w:rsidRDefault="00ED4F81" w:rsidP="00B45681">
      <w:pPr>
        <w:autoSpaceDE w:val="0"/>
        <w:autoSpaceDN w:val="0"/>
        <w:adjustRightInd w:val="0"/>
        <w:spacing w:after="0" w:line="240" w:lineRule="auto"/>
        <w:jc w:val="both"/>
        <w:rPr>
          <w:rFonts w:ascii="UnitPro-Light" w:hAnsi="UnitPro-Light" w:cs="UnitPro-Light"/>
          <w:color w:val="000000"/>
        </w:rPr>
      </w:pPr>
    </w:p>
    <w:p w:rsidR="006913E3" w:rsidRPr="00F12D13" w:rsidRDefault="006913E3" w:rsidP="00B45681">
      <w:pPr>
        <w:autoSpaceDE w:val="0"/>
        <w:autoSpaceDN w:val="0"/>
        <w:adjustRightInd w:val="0"/>
        <w:spacing w:after="0" w:line="240" w:lineRule="auto"/>
        <w:jc w:val="both"/>
        <w:rPr>
          <w:rFonts w:ascii="UnitPro-Light" w:hAnsi="UnitPro-Light" w:cs="UnitPro-Light"/>
          <w:color w:val="000000"/>
        </w:rPr>
      </w:pPr>
      <w:r w:rsidRPr="00CB35F4">
        <w:rPr>
          <w:rFonts w:ascii="UnitPro-Light" w:hAnsi="UnitPro-Light" w:cs="UnitPro-Light"/>
          <w:b/>
          <w:color w:val="000000"/>
        </w:rPr>
        <w:t>Nombre</w:t>
      </w:r>
      <w:r w:rsidR="00ED4F81" w:rsidRPr="00CB35F4">
        <w:rPr>
          <w:rFonts w:ascii="UnitPro-Light" w:hAnsi="UnitPro-Light" w:cs="UnitPro-Light"/>
          <w:b/>
          <w:color w:val="000000"/>
        </w:rPr>
        <w:t>:</w:t>
      </w:r>
      <w:r w:rsidR="00ED4F81">
        <w:rPr>
          <w:rFonts w:ascii="UnitPro-Light" w:hAnsi="UnitPro-Light" w:cs="UnitPro-Light"/>
          <w:color w:val="000000"/>
        </w:rPr>
        <w:t xml:space="preserve"> _</w:t>
      </w:r>
      <w:r w:rsidR="00CB35F4">
        <w:rPr>
          <w:rFonts w:ascii="UnitPro-Light" w:hAnsi="UnitPro-Light" w:cs="UnitPro-Light"/>
          <w:color w:val="000000"/>
        </w:rPr>
        <w:t>_______________</w:t>
      </w:r>
      <w:r w:rsidR="00AD273E">
        <w:rPr>
          <w:rFonts w:ascii="UnitPro-Light" w:hAnsi="UnitPro-Light" w:cs="UnitPro-Light"/>
          <w:color w:val="000000"/>
        </w:rPr>
        <w:t xml:space="preserve">_________ </w:t>
      </w:r>
      <w:r>
        <w:rPr>
          <w:rFonts w:ascii="UnitPro-Light" w:hAnsi="UnitPro-Light" w:cs="UnitPro-Light"/>
          <w:color w:val="000000"/>
        </w:rPr>
        <w:t xml:space="preserve">Curso: </w:t>
      </w:r>
      <w:r w:rsidR="00AD273E">
        <w:rPr>
          <w:rFonts w:ascii="UnitPro-Light" w:hAnsi="UnitPro-Light" w:cs="UnitPro-Light"/>
          <w:color w:val="000000"/>
        </w:rPr>
        <w:t>1° Medio __</w:t>
      </w:r>
      <w:r w:rsidR="00CB35F4">
        <w:rPr>
          <w:rFonts w:ascii="UnitPro-Light" w:hAnsi="UnitPro-Light" w:cs="UnitPro-Light"/>
          <w:color w:val="000000"/>
        </w:rPr>
        <w:t>Puntaje obtenido</w:t>
      </w:r>
      <w:r w:rsidR="00ED4F81">
        <w:rPr>
          <w:rFonts w:ascii="UnitPro-Light" w:hAnsi="UnitPro-Light" w:cs="UnitPro-Light"/>
          <w:color w:val="000000"/>
        </w:rPr>
        <w:t>: _</w:t>
      </w:r>
      <w:r w:rsidR="00AD273E">
        <w:rPr>
          <w:rFonts w:ascii="UnitPro-Light" w:hAnsi="UnitPro-Light" w:cs="UnitPro-Light"/>
          <w:color w:val="000000"/>
        </w:rPr>
        <w:t xml:space="preserve">_/34 </w:t>
      </w:r>
      <w:proofErr w:type="spellStart"/>
      <w:r w:rsidR="00AD273E">
        <w:rPr>
          <w:rFonts w:ascii="UnitPro-Light" w:hAnsi="UnitPro-Light" w:cs="UnitPro-Light"/>
          <w:color w:val="000000"/>
        </w:rPr>
        <w:t>ptos</w:t>
      </w:r>
      <w:proofErr w:type="spellEnd"/>
      <w:r w:rsidR="00CB35F4">
        <w:rPr>
          <w:rFonts w:ascii="UnitPro-Light" w:hAnsi="UnitPro-Light" w:cs="UnitPro-Light"/>
          <w:color w:val="000000"/>
        </w:rPr>
        <w:t xml:space="preserve"> Nota</w:t>
      </w:r>
      <w:r w:rsidR="00ED4F81">
        <w:rPr>
          <w:rFonts w:ascii="UnitPro-Light" w:hAnsi="UnitPro-Light" w:cs="UnitPro-Light"/>
          <w:color w:val="000000"/>
        </w:rPr>
        <w:t>: _</w:t>
      </w:r>
      <w:r w:rsidR="00CB35F4">
        <w:rPr>
          <w:rFonts w:ascii="UnitPro-Light" w:hAnsi="UnitPro-Light" w:cs="UnitPro-Light"/>
          <w:color w:val="000000"/>
        </w:rPr>
        <w:t>__</w:t>
      </w:r>
    </w:p>
    <w:p w:rsidR="00AF00E5" w:rsidRDefault="00AF00E5" w:rsidP="00B45681">
      <w:pPr>
        <w:autoSpaceDE w:val="0"/>
        <w:autoSpaceDN w:val="0"/>
        <w:adjustRightInd w:val="0"/>
        <w:spacing w:after="0" w:line="240" w:lineRule="auto"/>
        <w:jc w:val="both"/>
        <w:rPr>
          <w:rFonts w:ascii="UnitPro-Light" w:hAnsi="UnitPro-Light" w:cs="UnitPro-Light"/>
          <w:color w:val="000000"/>
        </w:rPr>
      </w:pPr>
    </w:p>
    <w:p w:rsidR="00ED4F81" w:rsidRDefault="00ED4F81" w:rsidP="00B45681">
      <w:pPr>
        <w:autoSpaceDE w:val="0"/>
        <w:autoSpaceDN w:val="0"/>
        <w:adjustRightInd w:val="0"/>
        <w:spacing w:after="0" w:line="240" w:lineRule="auto"/>
        <w:jc w:val="both"/>
        <w:rPr>
          <w:rFonts w:ascii="UnitPro-Light" w:hAnsi="UnitPro-Light" w:cs="UnitPro-Light"/>
          <w:color w:val="000000"/>
        </w:rPr>
      </w:pPr>
    </w:p>
    <w:p w:rsidR="00B45681" w:rsidRDefault="00B45681" w:rsidP="00B45681">
      <w:pPr>
        <w:autoSpaceDE w:val="0"/>
        <w:autoSpaceDN w:val="0"/>
        <w:adjustRightInd w:val="0"/>
        <w:spacing w:after="0" w:line="240" w:lineRule="auto"/>
        <w:jc w:val="both"/>
        <w:rPr>
          <w:rFonts w:ascii="UnitPro-Light" w:hAnsi="UnitPro-Light" w:cs="UnitPro-Light"/>
          <w:color w:val="000000"/>
        </w:rPr>
      </w:pPr>
      <w:r>
        <w:rPr>
          <w:rFonts w:ascii="UnitPro-Light" w:hAnsi="UnitPro-Light" w:cs="UnitPro-Light"/>
          <w:color w:val="000000"/>
        </w:rPr>
        <w:t>La atmósfera es la capa gaseosa que rodea el planeta. Ella es la responsable de la protección de la vida en la Tierra. La capa de ozono se encarga de absorber gran parte de la radiación ultravioleta proveniente del Sol.</w:t>
      </w:r>
    </w:p>
    <w:p w:rsidR="00B45681" w:rsidRDefault="00B45681" w:rsidP="00B45681">
      <w:pPr>
        <w:autoSpaceDE w:val="0"/>
        <w:autoSpaceDN w:val="0"/>
        <w:adjustRightInd w:val="0"/>
        <w:spacing w:after="0" w:line="240" w:lineRule="auto"/>
        <w:jc w:val="both"/>
        <w:rPr>
          <w:rFonts w:ascii="UnitPro-Light" w:hAnsi="UnitPro-Light" w:cs="UnitPro-Light"/>
          <w:color w:val="000000"/>
        </w:rPr>
      </w:pPr>
    </w:p>
    <w:p w:rsidR="001A7F4A" w:rsidRPr="00B45681" w:rsidRDefault="00B45681" w:rsidP="00B45681">
      <w:pPr>
        <w:autoSpaceDE w:val="0"/>
        <w:autoSpaceDN w:val="0"/>
        <w:adjustRightInd w:val="0"/>
        <w:spacing w:after="0" w:line="240" w:lineRule="auto"/>
        <w:jc w:val="both"/>
        <w:rPr>
          <w:rFonts w:ascii="UnitPro-Light" w:hAnsi="UnitPro-Light" w:cs="UnitPro-Light"/>
          <w:color w:val="000000"/>
        </w:rPr>
      </w:pPr>
      <w:r>
        <w:rPr>
          <w:rFonts w:ascii="UnitPro-Light" w:hAnsi="UnitPro-Light" w:cs="UnitPro-Light"/>
          <w:color w:val="000000"/>
        </w:rPr>
        <w:t xml:space="preserve">1.- </w:t>
      </w:r>
      <w:r w:rsidRPr="00B45681">
        <w:rPr>
          <w:rFonts w:ascii="UnitPro-Light" w:hAnsi="UnitPro-Light" w:cs="UnitPro-Light"/>
          <w:color w:val="000000"/>
        </w:rPr>
        <w:t>En la figura se muestra la representación de las moléculas de varios gases que componen la atmósfera terrestre en mayor o menor cuantía. Sobre ellos completa las actividades que se proponen a continuación:</w:t>
      </w:r>
    </w:p>
    <w:p w:rsidR="00B45681" w:rsidRDefault="00B45681" w:rsidP="00B45681">
      <w:pPr>
        <w:pStyle w:val="Prrafodelista"/>
        <w:autoSpaceDE w:val="0"/>
        <w:autoSpaceDN w:val="0"/>
        <w:adjustRightInd w:val="0"/>
        <w:spacing w:after="0" w:line="240" w:lineRule="auto"/>
        <w:ind w:left="0"/>
        <w:jc w:val="both"/>
        <w:rPr>
          <w:rFonts w:ascii="UnitPro-Light" w:hAnsi="UnitPro-Light" w:cs="UnitPro-Light"/>
          <w:color w:val="000000"/>
        </w:rPr>
      </w:pPr>
    </w:p>
    <w:p w:rsidR="00B45681" w:rsidRDefault="00B45681" w:rsidP="00B45681">
      <w:pPr>
        <w:pStyle w:val="Prrafodelista"/>
        <w:autoSpaceDE w:val="0"/>
        <w:autoSpaceDN w:val="0"/>
        <w:adjustRightInd w:val="0"/>
        <w:spacing w:after="0" w:line="240" w:lineRule="auto"/>
        <w:ind w:left="0"/>
        <w:jc w:val="both"/>
        <w:rPr>
          <w:rFonts w:ascii="UnitPro-Light" w:hAnsi="UnitPro-Light" w:cs="UnitPro-Light"/>
          <w:color w:val="000000"/>
        </w:rPr>
      </w:pPr>
      <w:r>
        <w:rPr>
          <w:rFonts w:ascii="UnitPro-Light" w:hAnsi="UnitPro-Light" w:cs="UnitPro-Light"/>
          <w:noProof/>
          <w:color w:val="000000"/>
          <w:lang w:eastAsia="es-CL"/>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5934075" cy="12668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681" w:rsidRPr="00B45681" w:rsidRDefault="00B45681" w:rsidP="00B45681"/>
    <w:p w:rsidR="00B45681" w:rsidRPr="00B45681" w:rsidRDefault="00B45681" w:rsidP="00B45681"/>
    <w:p w:rsidR="00B45681" w:rsidRDefault="00B45681" w:rsidP="00B45681"/>
    <w:p w:rsidR="00B45681" w:rsidRDefault="00B45681" w:rsidP="00B45681"/>
    <w:p w:rsidR="00B45681" w:rsidRDefault="00E539B0" w:rsidP="000D10FA">
      <w:pPr>
        <w:pStyle w:val="Prrafodelista"/>
        <w:numPr>
          <w:ilvl w:val="0"/>
          <w:numId w:val="3"/>
        </w:numPr>
        <w:autoSpaceDE w:val="0"/>
        <w:autoSpaceDN w:val="0"/>
        <w:adjustRightInd w:val="0"/>
        <w:spacing w:after="0" w:line="240" w:lineRule="auto"/>
        <w:ind w:left="284" w:hanging="284"/>
        <w:rPr>
          <w:rFonts w:ascii="UnitPro-Thin" w:hAnsi="UnitPro-Thin" w:cs="UnitPro-Thin"/>
          <w:color w:val="000000"/>
        </w:rPr>
      </w:pPr>
      <w:r>
        <w:rPr>
          <w:rFonts w:ascii="UnitPro-Thin" w:hAnsi="UnitPro-Thin" w:cs="UnitPro-Thin"/>
          <w:color w:val="000000"/>
        </w:rPr>
        <w:t xml:space="preserve">Con la ayuda de una tabla periódica y reconociendo los colores de cada uno de los </w:t>
      </w:r>
      <w:r w:rsidR="000D10FA" w:rsidRPr="000D10FA">
        <w:rPr>
          <w:rFonts w:ascii="UnitPro-Thin" w:hAnsi="UnitPro-Thin" w:cs="UnitPro-Thin"/>
          <w:color w:val="000000"/>
        </w:rPr>
        <w:t>elementos que reconoces en las moléculas representadas en la imagen y completa la</w:t>
      </w:r>
      <w:r>
        <w:rPr>
          <w:rFonts w:ascii="UnitPro-Thin" w:hAnsi="UnitPro-Thin" w:cs="UnitPro-Thin"/>
          <w:color w:val="000000"/>
        </w:rPr>
        <w:t xml:space="preserve"> siguiente </w:t>
      </w:r>
      <w:r w:rsidR="000D10FA" w:rsidRPr="000D10FA">
        <w:rPr>
          <w:rFonts w:ascii="UnitPro-Thin" w:hAnsi="UnitPro-Thin" w:cs="UnitPro-Thin"/>
          <w:color w:val="000000"/>
        </w:rPr>
        <w:t>tabla:</w:t>
      </w:r>
      <w:r w:rsidR="00AD273E">
        <w:rPr>
          <w:rFonts w:ascii="UnitPro-Thin" w:hAnsi="UnitPro-Thin" w:cs="UnitPro-Thin"/>
          <w:color w:val="000000"/>
        </w:rPr>
        <w:t xml:space="preserve"> (19 </w:t>
      </w:r>
      <w:proofErr w:type="spellStart"/>
      <w:r w:rsidR="00AD273E">
        <w:rPr>
          <w:rFonts w:ascii="UnitPro-Thin" w:hAnsi="UnitPro-Thin" w:cs="UnitPro-Thin"/>
          <w:color w:val="000000"/>
        </w:rPr>
        <w:t>ptos</w:t>
      </w:r>
      <w:proofErr w:type="spellEnd"/>
      <w:r w:rsidR="00AD273E">
        <w:rPr>
          <w:rFonts w:ascii="UnitPro-Thin" w:hAnsi="UnitPro-Thin" w:cs="UnitPro-Thin"/>
          <w:color w:val="000000"/>
        </w:rPr>
        <w:t>)</w:t>
      </w:r>
    </w:p>
    <w:p w:rsidR="000D10FA" w:rsidRDefault="000D10FA" w:rsidP="000D10FA">
      <w:pPr>
        <w:pStyle w:val="Prrafodelista"/>
        <w:autoSpaceDE w:val="0"/>
        <w:autoSpaceDN w:val="0"/>
        <w:adjustRightInd w:val="0"/>
        <w:spacing w:after="0" w:line="240" w:lineRule="auto"/>
        <w:ind w:left="284"/>
        <w:rPr>
          <w:rFonts w:ascii="UnitPro-Thin" w:hAnsi="UnitPro-Thin" w:cs="UnitPro-Thin"/>
          <w:color w:val="000000"/>
        </w:rPr>
      </w:pPr>
    </w:p>
    <w:tbl>
      <w:tblPr>
        <w:tblStyle w:val="Tablaconcuadrcula"/>
        <w:tblW w:w="0" w:type="auto"/>
        <w:tblInd w:w="284" w:type="dxa"/>
        <w:tblLook w:val="04A0" w:firstRow="1" w:lastRow="0" w:firstColumn="1" w:lastColumn="0" w:noHBand="0" w:noVBand="1"/>
      </w:tblPr>
      <w:tblGrid>
        <w:gridCol w:w="1582"/>
        <w:gridCol w:w="1582"/>
        <w:gridCol w:w="1583"/>
        <w:gridCol w:w="1583"/>
        <w:gridCol w:w="1583"/>
        <w:gridCol w:w="1583"/>
      </w:tblGrid>
      <w:tr w:rsidR="000D10FA" w:rsidTr="000D10FA">
        <w:tc>
          <w:tcPr>
            <w:tcW w:w="1582"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Elemento</w:t>
            </w:r>
          </w:p>
        </w:tc>
        <w:tc>
          <w:tcPr>
            <w:tcW w:w="1582"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Grupo</w:t>
            </w:r>
          </w:p>
        </w:tc>
        <w:tc>
          <w:tcPr>
            <w:tcW w:w="1583"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Periodo</w:t>
            </w:r>
          </w:p>
        </w:tc>
        <w:tc>
          <w:tcPr>
            <w:tcW w:w="1583"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Numero Atómico</w:t>
            </w:r>
          </w:p>
        </w:tc>
        <w:tc>
          <w:tcPr>
            <w:tcW w:w="1583"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Distribución electrónica</w:t>
            </w:r>
          </w:p>
        </w:tc>
        <w:tc>
          <w:tcPr>
            <w:tcW w:w="1583" w:type="dxa"/>
            <w:shd w:val="clear" w:color="auto" w:fill="CCC0D9" w:themeFill="accent4" w:themeFillTint="66"/>
          </w:tcPr>
          <w:p w:rsidR="000D10FA" w:rsidRDefault="000D10FA" w:rsidP="000D10FA">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Electrones de Valencia</w:t>
            </w:r>
          </w:p>
        </w:tc>
      </w:tr>
      <w:tr w:rsidR="000D10FA" w:rsidTr="000D10FA">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E539B0" w:rsidP="00E539B0">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1</w:t>
            </w: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E539B0" w:rsidP="00E539B0">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1</w:t>
            </w:r>
          </w:p>
        </w:tc>
      </w:tr>
      <w:tr w:rsidR="000D10FA" w:rsidTr="000D10FA">
        <w:tc>
          <w:tcPr>
            <w:tcW w:w="1582" w:type="dxa"/>
          </w:tcPr>
          <w:p w:rsidR="000D10FA" w:rsidRDefault="00E539B0" w:rsidP="00E539B0">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C</w:t>
            </w:r>
          </w:p>
        </w:tc>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r>
      <w:tr w:rsidR="000D10FA" w:rsidTr="000D10FA">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E539B0" w:rsidP="00E539B0">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7</w:t>
            </w: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r>
      <w:tr w:rsidR="000D10FA" w:rsidTr="000D10FA">
        <w:tc>
          <w:tcPr>
            <w:tcW w:w="1582"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2" w:type="dxa"/>
          </w:tcPr>
          <w:p w:rsidR="000D10FA" w:rsidRDefault="00E539B0" w:rsidP="00E539B0">
            <w:pPr>
              <w:pStyle w:val="Prrafodelista"/>
              <w:autoSpaceDE w:val="0"/>
              <w:autoSpaceDN w:val="0"/>
              <w:adjustRightInd w:val="0"/>
              <w:ind w:left="0"/>
              <w:jc w:val="center"/>
              <w:rPr>
                <w:rFonts w:ascii="UnitPro-Thin" w:hAnsi="UnitPro-Thin" w:cs="UnitPro-Thin"/>
                <w:color w:val="000000"/>
              </w:rPr>
            </w:pPr>
            <w:r>
              <w:rPr>
                <w:rFonts w:ascii="UnitPro-Thin" w:hAnsi="UnitPro-Thin" w:cs="UnitPro-Thin"/>
                <w:color w:val="000000"/>
              </w:rPr>
              <w:t>VIA</w:t>
            </w: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c>
          <w:tcPr>
            <w:tcW w:w="1583" w:type="dxa"/>
          </w:tcPr>
          <w:p w:rsidR="000D10FA" w:rsidRPr="00E539B0" w:rsidRDefault="00E539B0" w:rsidP="00E539B0">
            <w:pPr>
              <w:pStyle w:val="Prrafodelista"/>
              <w:autoSpaceDE w:val="0"/>
              <w:autoSpaceDN w:val="0"/>
              <w:adjustRightInd w:val="0"/>
              <w:ind w:left="0"/>
              <w:jc w:val="center"/>
              <w:rPr>
                <w:rFonts w:ascii="UnitPro-Thin" w:hAnsi="UnitPro-Thin" w:cs="UnitPro-Thin"/>
                <w:color w:val="000000"/>
                <w:vertAlign w:val="superscript"/>
              </w:rPr>
            </w:pPr>
            <w:r>
              <w:rPr>
                <w:rFonts w:ascii="UnitPro-Thin" w:hAnsi="UnitPro-Thin" w:cs="UnitPro-Thin"/>
                <w:color w:val="000000"/>
              </w:rPr>
              <w:t>1s</w:t>
            </w:r>
            <w:r>
              <w:rPr>
                <w:rFonts w:ascii="UnitPro-Thin" w:hAnsi="UnitPro-Thin" w:cs="UnitPro-Thin"/>
                <w:color w:val="000000"/>
                <w:vertAlign w:val="superscript"/>
              </w:rPr>
              <w:t>2</w:t>
            </w:r>
            <w:r>
              <w:rPr>
                <w:rFonts w:ascii="UnitPro-Thin" w:hAnsi="UnitPro-Thin" w:cs="UnitPro-Thin"/>
                <w:color w:val="000000"/>
              </w:rPr>
              <w:t>2s</w:t>
            </w:r>
            <w:r>
              <w:rPr>
                <w:rFonts w:ascii="UnitPro-Thin" w:hAnsi="UnitPro-Thin" w:cs="UnitPro-Thin"/>
                <w:color w:val="000000"/>
                <w:vertAlign w:val="superscript"/>
              </w:rPr>
              <w:t>2</w:t>
            </w:r>
            <w:r>
              <w:rPr>
                <w:rFonts w:ascii="UnitPro-Thin" w:hAnsi="UnitPro-Thin" w:cs="UnitPro-Thin"/>
                <w:color w:val="000000"/>
              </w:rPr>
              <w:t>2p</w:t>
            </w:r>
            <w:r>
              <w:rPr>
                <w:rFonts w:ascii="UnitPro-Thin" w:hAnsi="UnitPro-Thin" w:cs="UnitPro-Thin"/>
                <w:color w:val="000000"/>
                <w:vertAlign w:val="superscript"/>
              </w:rPr>
              <w:t>4</w:t>
            </w:r>
          </w:p>
        </w:tc>
        <w:tc>
          <w:tcPr>
            <w:tcW w:w="1583" w:type="dxa"/>
          </w:tcPr>
          <w:p w:rsidR="000D10FA" w:rsidRDefault="000D10FA" w:rsidP="00E539B0">
            <w:pPr>
              <w:pStyle w:val="Prrafodelista"/>
              <w:autoSpaceDE w:val="0"/>
              <w:autoSpaceDN w:val="0"/>
              <w:adjustRightInd w:val="0"/>
              <w:ind w:left="0"/>
              <w:jc w:val="center"/>
              <w:rPr>
                <w:rFonts w:ascii="UnitPro-Thin" w:hAnsi="UnitPro-Thin" w:cs="UnitPro-Thin"/>
                <w:color w:val="000000"/>
              </w:rPr>
            </w:pPr>
          </w:p>
        </w:tc>
      </w:tr>
    </w:tbl>
    <w:p w:rsidR="000D10FA" w:rsidRPr="000D10FA" w:rsidRDefault="000D10FA" w:rsidP="000D10FA">
      <w:pPr>
        <w:pStyle w:val="Prrafodelista"/>
        <w:autoSpaceDE w:val="0"/>
        <w:autoSpaceDN w:val="0"/>
        <w:adjustRightInd w:val="0"/>
        <w:spacing w:after="0" w:line="240" w:lineRule="auto"/>
        <w:ind w:left="284"/>
        <w:rPr>
          <w:rFonts w:ascii="UnitPro-Thin" w:hAnsi="UnitPro-Thin" w:cs="UnitPro-Thin"/>
          <w:color w:val="000000"/>
        </w:rPr>
      </w:pPr>
    </w:p>
    <w:p w:rsidR="000D10FA" w:rsidRDefault="00E539B0" w:rsidP="00346623">
      <w:pPr>
        <w:pStyle w:val="Prrafodelista"/>
        <w:numPr>
          <w:ilvl w:val="0"/>
          <w:numId w:val="3"/>
        </w:numPr>
        <w:autoSpaceDE w:val="0"/>
        <w:autoSpaceDN w:val="0"/>
        <w:adjustRightInd w:val="0"/>
        <w:spacing w:after="0" w:line="240" w:lineRule="auto"/>
        <w:ind w:left="284" w:hanging="284"/>
        <w:jc w:val="both"/>
        <w:rPr>
          <w:rFonts w:ascii="UnitPro-Thin" w:hAnsi="UnitPro-Thin" w:cs="UnitPro-Thin"/>
        </w:rPr>
      </w:pPr>
      <w:r w:rsidRPr="00E539B0">
        <w:rPr>
          <w:rFonts w:ascii="UnitPro-Thin" w:hAnsi="UnitPro-Thin" w:cs="UnitPro-Thin"/>
        </w:rPr>
        <w:t>Analiza los átomos anteriores en cuanto a radio atómico y electronegatividad. El</w:t>
      </w:r>
      <w:r>
        <w:rPr>
          <w:rFonts w:ascii="UnitPro-Thin" w:hAnsi="UnitPro-Thin" w:cs="UnitPro-Thin"/>
        </w:rPr>
        <w:t xml:space="preserve"> </w:t>
      </w:r>
      <w:r w:rsidRPr="00E539B0">
        <w:rPr>
          <w:rFonts w:ascii="UnitPro-Thin" w:hAnsi="UnitPro-Thin" w:cs="UnitPro-Thin"/>
        </w:rPr>
        <w:t>valor del radio atómico permite explicar la electronegatividad, ¿por qué?</w:t>
      </w:r>
      <w:r w:rsidR="00AD273E">
        <w:rPr>
          <w:rFonts w:ascii="UnitPro-Thin" w:hAnsi="UnitPro-Thin" w:cs="UnitPro-Thin"/>
        </w:rPr>
        <w:t xml:space="preserve"> (3 </w:t>
      </w:r>
      <w:proofErr w:type="spellStart"/>
      <w:r w:rsidR="00AD273E">
        <w:rPr>
          <w:rFonts w:ascii="UnitPro-Thin" w:hAnsi="UnitPro-Thin" w:cs="UnitPro-Thin"/>
        </w:rPr>
        <w:t>ptos</w:t>
      </w:r>
      <w:proofErr w:type="spellEnd"/>
      <w:r w:rsidR="00AD273E">
        <w:rPr>
          <w:rFonts w:ascii="UnitPro-Thin" w:hAnsi="UnitPro-Thin" w:cs="UnitPro-Thin"/>
        </w:rPr>
        <w:t>)</w:t>
      </w:r>
    </w:p>
    <w:p w:rsidR="00D11E6A" w:rsidRDefault="00D11E6A" w:rsidP="00D11E6A">
      <w:pPr>
        <w:pStyle w:val="Prrafodelista"/>
        <w:autoSpaceDE w:val="0"/>
        <w:autoSpaceDN w:val="0"/>
        <w:adjustRightInd w:val="0"/>
        <w:spacing w:after="0" w:line="240" w:lineRule="auto"/>
        <w:ind w:left="284"/>
        <w:rPr>
          <w:rFonts w:ascii="UnitPro-Thin" w:hAnsi="UnitPro-Thin" w:cs="UnitPro-Thin"/>
        </w:rPr>
      </w:pPr>
      <w:r>
        <w:rPr>
          <w:rFonts w:ascii="UnitPro-Thin" w:hAnsi="UnitPro-Thin" w:cs="UnitPro-Thin"/>
        </w:rPr>
        <w:t>______________________________________________________________________________________________________________________________________________________________________________________________________________________________</w:t>
      </w:r>
    </w:p>
    <w:p w:rsidR="00D11E6A" w:rsidRDefault="00D11E6A" w:rsidP="00D11E6A">
      <w:pPr>
        <w:pStyle w:val="Prrafodelista"/>
        <w:autoSpaceDE w:val="0"/>
        <w:autoSpaceDN w:val="0"/>
        <w:adjustRightInd w:val="0"/>
        <w:spacing w:after="0" w:line="240" w:lineRule="auto"/>
        <w:ind w:left="284"/>
        <w:rPr>
          <w:rFonts w:ascii="UnitPro-Thin" w:hAnsi="UnitPro-Thin" w:cs="UnitPro-Thin"/>
        </w:rPr>
      </w:pPr>
    </w:p>
    <w:p w:rsidR="00D11E6A" w:rsidRDefault="00D11E6A" w:rsidP="00346623">
      <w:pPr>
        <w:pStyle w:val="Prrafodelista"/>
        <w:numPr>
          <w:ilvl w:val="0"/>
          <w:numId w:val="3"/>
        </w:numPr>
        <w:autoSpaceDE w:val="0"/>
        <w:autoSpaceDN w:val="0"/>
        <w:adjustRightInd w:val="0"/>
        <w:spacing w:after="0" w:line="240" w:lineRule="auto"/>
        <w:ind w:left="284" w:hanging="284"/>
        <w:jc w:val="both"/>
        <w:rPr>
          <w:rFonts w:ascii="UnitPro-Thin" w:hAnsi="UnitPro-Thin" w:cs="UnitPro-Thin"/>
        </w:rPr>
      </w:pPr>
      <w:r w:rsidRPr="00D11E6A">
        <w:rPr>
          <w:rFonts w:ascii="UnitPro-Thin" w:hAnsi="UnitPro-Thin" w:cs="UnitPro-Thin"/>
        </w:rPr>
        <w:t>Escribe la distribución electrónica del silicio y compárala con la del carbono en</w:t>
      </w:r>
      <w:r>
        <w:rPr>
          <w:rFonts w:ascii="UnitPro-Thin" w:hAnsi="UnitPro-Thin" w:cs="UnitPro-Thin"/>
        </w:rPr>
        <w:t xml:space="preserve"> </w:t>
      </w:r>
      <w:r w:rsidRPr="00D11E6A">
        <w:rPr>
          <w:rFonts w:ascii="UnitPro-Thin" w:hAnsi="UnitPro-Thin" w:cs="UnitPro-Thin"/>
        </w:rPr>
        <w:t>cuanto a niveles de energía y electrones de valencia. ¿Crees que los enlaces que</w:t>
      </w:r>
      <w:r>
        <w:rPr>
          <w:rFonts w:ascii="UnitPro-Thin" w:hAnsi="UnitPro-Thin" w:cs="UnitPro-Thin"/>
        </w:rPr>
        <w:t xml:space="preserve"> </w:t>
      </w:r>
      <w:r w:rsidRPr="00D11E6A">
        <w:rPr>
          <w:rFonts w:ascii="UnitPro-Thin" w:hAnsi="UnitPro-Thin" w:cs="UnitPro-Thin"/>
        </w:rPr>
        <w:t>formen ambos compuestos serán igualmente fuertes?, ¿por qué?</w:t>
      </w:r>
      <w:r w:rsidR="00AD273E">
        <w:rPr>
          <w:rFonts w:ascii="UnitPro-Thin" w:hAnsi="UnitPro-Thin" w:cs="UnitPro-Thin"/>
        </w:rPr>
        <w:t xml:space="preserve"> (3 </w:t>
      </w:r>
      <w:proofErr w:type="spellStart"/>
      <w:r w:rsidR="00AD273E">
        <w:rPr>
          <w:rFonts w:ascii="UnitPro-Thin" w:hAnsi="UnitPro-Thin" w:cs="UnitPro-Thin"/>
        </w:rPr>
        <w:t>ptos</w:t>
      </w:r>
      <w:proofErr w:type="spellEnd"/>
      <w:r w:rsidR="00AD273E">
        <w:rPr>
          <w:rFonts w:ascii="UnitPro-Thin" w:hAnsi="UnitPro-Thin" w:cs="UnitPro-Thin"/>
        </w:rPr>
        <w:t>)</w:t>
      </w:r>
    </w:p>
    <w:p w:rsidR="00D11E6A" w:rsidRDefault="00D11E6A" w:rsidP="00D11E6A">
      <w:pPr>
        <w:pStyle w:val="Prrafodelista"/>
        <w:autoSpaceDE w:val="0"/>
        <w:autoSpaceDN w:val="0"/>
        <w:adjustRightInd w:val="0"/>
        <w:spacing w:after="0" w:line="240" w:lineRule="auto"/>
        <w:ind w:left="284"/>
        <w:rPr>
          <w:rFonts w:ascii="UnitPro-Thin" w:hAnsi="UnitPro-Thin" w:cs="UnitPro-Thin"/>
        </w:rPr>
      </w:pPr>
      <w:r>
        <w:rPr>
          <w:rFonts w:ascii="UnitPro-Thin" w:hAnsi="UnitPro-Thin" w:cs="UnitPro-Thin"/>
        </w:rPr>
        <w:t>______________________________________________________________________________________________________________________________________________________________________________________________________________________________</w:t>
      </w:r>
    </w:p>
    <w:p w:rsidR="00D11E6A" w:rsidRDefault="00D11E6A" w:rsidP="00D11E6A">
      <w:pPr>
        <w:pStyle w:val="Prrafodelista"/>
        <w:autoSpaceDE w:val="0"/>
        <w:autoSpaceDN w:val="0"/>
        <w:adjustRightInd w:val="0"/>
        <w:spacing w:after="0" w:line="240" w:lineRule="auto"/>
        <w:ind w:left="284"/>
        <w:rPr>
          <w:rFonts w:ascii="UnitPro-Thin" w:hAnsi="UnitPro-Thin" w:cs="UnitPro-Thin"/>
        </w:rPr>
      </w:pPr>
    </w:p>
    <w:p w:rsidR="00ED4F81" w:rsidRDefault="00ED4F81" w:rsidP="00D11E6A">
      <w:pPr>
        <w:pStyle w:val="Prrafodelista"/>
        <w:autoSpaceDE w:val="0"/>
        <w:autoSpaceDN w:val="0"/>
        <w:adjustRightInd w:val="0"/>
        <w:spacing w:after="0" w:line="240" w:lineRule="auto"/>
        <w:ind w:left="284"/>
        <w:rPr>
          <w:rFonts w:ascii="UnitPro-Thin" w:hAnsi="UnitPro-Thin" w:cs="UnitPro-Thin"/>
        </w:rPr>
      </w:pPr>
    </w:p>
    <w:p w:rsidR="00ED4F81" w:rsidRDefault="00ED4F81" w:rsidP="00D11E6A">
      <w:pPr>
        <w:pStyle w:val="Prrafodelista"/>
        <w:autoSpaceDE w:val="0"/>
        <w:autoSpaceDN w:val="0"/>
        <w:adjustRightInd w:val="0"/>
        <w:spacing w:after="0" w:line="240" w:lineRule="auto"/>
        <w:ind w:left="284"/>
        <w:rPr>
          <w:rFonts w:ascii="UnitPro-Thin" w:hAnsi="UnitPro-Thin" w:cs="UnitPro-Thin"/>
        </w:rPr>
      </w:pPr>
    </w:p>
    <w:p w:rsidR="00D11E6A" w:rsidRDefault="00D11E6A" w:rsidP="00346623">
      <w:pPr>
        <w:pStyle w:val="Prrafodelista"/>
        <w:numPr>
          <w:ilvl w:val="0"/>
          <w:numId w:val="3"/>
        </w:numPr>
        <w:autoSpaceDE w:val="0"/>
        <w:autoSpaceDN w:val="0"/>
        <w:adjustRightInd w:val="0"/>
        <w:spacing w:after="0" w:line="240" w:lineRule="auto"/>
        <w:ind w:left="284" w:hanging="284"/>
        <w:jc w:val="both"/>
        <w:rPr>
          <w:rFonts w:ascii="UnitPro-Thin" w:hAnsi="UnitPro-Thin" w:cs="UnitPro-Thin"/>
        </w:rPr>
      </w:pPr>
      <w:r w:rsidRPr="00D11E6A">
        <w:rPr>
          <w:rFonts w:ascii="UnitPro-Thin" w:hAnsi="UnitPro-Thin" w:cs="UnitPro-Thin"/>
        </w:rPr>
        <w:t>Apoyándote en toda la información recopilada, representa los compuestos químicos</w:t>
      </w:r>
      <w:r>
        <w:rPr>
          <w:rFonts w:ascii="UnitPro-Thin" w:hAnsi="UnitPro-Thin" w:cs="UnitPro-Thin"/>
        </w:rPr>
        <w:t xml:space="preserve"> </w:t>
      </w:r>
      <w:r w:rsidRPr="00D11E6A">
        <w:rPr>
          <w:rFonts w:ascii="UnitPro-Thin" w:hAnsi="UnitPro-Thin" w:cs="UnitPro-Thin"/>
        </w:rPr>
        <w:t>anteriores usando la estructura d</w:t>
      </w:r>
      <w:r w:rsidR="00AD273E">
        <w:rPr>
          <w:rFonts w:ascii="UnitPro-Thin" w:hAnsi="UnitPro-Thin" w:cs="UnitPro-Thin"/>
        </w:rPr>
        <w:t xml:space="preserve">e Lewis.(3 </w:t>
      </w:r>
      <w:proofErr w:type="spellStart"/>
      <w:r w:rsidR="00AD273E">
        <w:rPr>
          <w:rFonts w:ascii="UnitPro-Thin" w:hAnsi="UnitPro-Thin" w:cs="UnitPro-Thin"/>
        </w:rPr>
        <w:t>ptos</w:t>
      </w:r>
      <w:proofErr w:type="spellEnd"/>
      <w:r w:rsidR="00AD273E">
        <w:rPr>
          <w:rFonts w:ascii="UnitPro-Thin" w:hAnsi="UnitPro-Thin" w:cs="UnitPro-Thin"/>
        </w:rPr>
        <w:t>)</w:t>
      </w:r>
    </w:p>
    <w:p w:rsidR="00346623" w:rsidRDefault="00346623" w:rsidP="00346623">
      <w:pPr>
        <w:pStyle w:val="Prrafodelista"/>
        <w:autoSpaceDE w:val="0"/>
        <w:autoSpaceDN w:val="0"/>
        <w:adjustRightInd w:val="0"/>
        <w:spacing w:after="0" w:line="240" w:lineRule="auto"/>
        <w:ind w:left="284"/>
        <w:rPr>
          <w:rFonts w:ascii="UnitPro-Thin" w:hAnsi="UnitPro-Thin" w:cs="UnitPro-Thin"/>
        </w:rPr>
      </w:pPr>
      <w:r>
        <w:rPr>
          <w:rFonts w:ascii="UnitPro-Thin" w:hAnsi="UnitPro-Thin" w:cs="UnitPro-Thin"/>
        </w:rPr>
        <w:lastRenderedPageBreak/>
        <w:t>______________________________________________________________________________________________________________________________________________________________________________________________________________________________</w:t>
      </w:r>
    </w:p>
    <w:p w:rsidR="00346623" w:rsidRDefault="00346623" w:rsidP="00346623">
      <w:pPr>
        <w:pStyle w:val="Prrafodelista"/>
        <w:autoSpaceDE w:val="0"/>
        <w:autoSpaceDN w:val="0"/>
        <w:adjustRightInd w:val="0"/>
        <w:spacing w:after="0" w:line="240" w:lineRule="auto"/>
        <w:ind w:left="284"/>
        <w:rPr>
          <w:rFonts w:ascii="UnitPro-Thin" w:hAnsi="UnitPro-Thin" w:cs="UnitPro-Thin"/>
        </w:rPr>
      </w:pPr>
    </w:p>
    <w:p w:rsidR="00346623" w:rsidRDefault="00346623" w:rsidP="00346623">
      <w:pPr>
        <w:pStyle w:val="Prrafodelista"/>
        <w:numPr>
          <w:ilvl w:val="0"/>
          <w:numId w:val="3"/>
        </w:numPr>
        <w:autoSpaceDE w:val="0"/>
        <w:autoSpaceDN w:val="0"/>
        <w:adjustRightInd w:val="0"/>
        <w:spacing w:after="0" w:line="240" w:lineRule="auto"/>
        <w:ind w:left="284" w:hanging="284"/>
        <w:jc w:val="both"/>
        <w:rPr>
          <w:rFonts w:ascii="UnitPro-Thin" w:hAnsi="UnitPro-Thin" w:cs="UnitPro-Thin"/>
        </w:rPr>
      </w:pPr>
      <w:r>
        <w:rPr>
          <w:rFonts w:ascii="UnitPro-Thin" w:hAnsi="UnitPro-Thin" w:cs="UnitPro-Thin"/>
        </w:rPr>
        <w:t xml:space="preserve">Ya conoces que las moléculas están formadas por átomos unidos entre sí a través </w:t>
      </w:r>
      <w:r w:rsidRPr="00346623">
        <w:rPr>
          <w:rFonts w:ascii="UnitPro-Thin" w:hAnsi="UnitPro-Thin" w:cs="UnitPro-Thin"/>
        </w:rPr>
        <w:t>de un enlace químico (iónico, covalente polar y covalente apolar). ¿Qué enlace</w:t>
      </w:r>
      <w:r>
        <w:rPr>
          <w:rFonts w:ascii="UnitPro-Thin" w:hAnsi="UnitPro-Thin" w:cs="UnitPro-Thin"/>
        </w:rPr>
        <w:t xml:space="preserve"> </w:t>
      </w:r>
      <w:r w:rsidRPr="00346623">
        <w:rPr>
          <w:rFonts w:ascii="UnitPro-Thin" w:hAnsi="UnitPro-Thin" w:cs="UnitPro-Thin"/>
        </w:rPr>
        <w:t>se evidencia en las moléculas anteriores? ¿Qué diferencia existe entre el tipo de</w:t>
      </w:r>
      <w:r>
        <w:rPr>
          <w:rFonts w:ascii="UnitPro-Thin" w:hAnsi="UnitPro-Thin" w:cs="UnitPro-Thin"/>
        </w:rPr>
        <w:t xml:space="preserve"> enlace que experimentan las </w:t>
      </w:r>
      <w:r w:rsidRPr="00346623">
        <w:rPr>
          <w:rFonts w:ascii="UnitPro-Thin" w:hAnsi="UnitPro-Thin" w:cs="UnitPro-Thin"/>
        </w:rPr>
        <w:t>moléculas anteriores y el que experimenta el cloruro</w:t>
      </w:r>
      <w:r w:rsidR="00230CA1">
        <w:rPr>
          <w:rFonts w:ascii="UnitPro-Thin" w:hAnsi="UnitPro-Thin" w:cs="UnitPro-Thin"/>
        </w:rPr>
        <w:t xml:space="preserve"> </w:t>
      </w:r>
      <w:r w:rsidRPr="00230CA1">
        <w:rPr>
          <w:rFonts w:ascii="UnitPro-Thin" w:hAnsi="UnitPro-Thin" w:cs="UnitPro-Thin"/>
        </w:rPr>
        <w:t>de sodio?</w:t>
      </w:r>
      <w:r w:rsidR="00AD273E">
        <w:rPr>
          <w:rFonts w:ascii="UnitPro-Thin" w:hAnsi="UnitPro-Thin" w:cs="UnitPro-Thin"/>
        </w:rPr>
        <w:t xml:space="preserve"> (3 </w:t>
      </w:r>
      <w:proofErr w:type="spellStart"/>
      <w:r w:rsidR="00AD273E">
        <w:rPr>
          <w:rFonts w:ascii="UnitPro-Thin" w:hAnsi="UnitPro-Thin" w:cs="UnitPro-Thin"/>
        </w:rPr>
        <w:t>ptos</w:t>
      </w:r>
      <w:proofErr w:type="spellEnd"/>
      <w:r w:rsidR="00AD273E">
        <w:rPr>
          <w:rFonts w:ascii="UnitPro-Thin" w:hAnsi="UnitPro-Thin" w:cs="UnitPro-Thin"/>
        </w:rPr>
        <w:t>)</w:t>
      </w:r>
    </w:p>
    <w:p w:rsidR="00230CA1" w:rsidRDefault="00230CA1" w:rsidP="00230CA1">
      <w:pPr>
        <w:pStyle w:val="Prrafodelista"/>
        <w:autoSpaceDE w:val="0"/>
        <w:autoSpaceDN w:val="0"/>
        <w:adjustRightInd w:val="0"/>
        <w:spacing w:after="0" w:line="240" w:lineRule="auto"/>
        <w:ind w:left="284"/>
        <w:jc w:val="both"/>
        <w:rPr>
          <w:rFonts w:ascii="UnitPro-Thin" w:hAnsi="UnitPro-Thin" w:cs="UnitPro-Thin"/>
        </w:rPr>
      </w:pPr>
      <w:r>
        <w:rPr>
          <w:rFonts w:ascii="UnitPro-Thin" w:hAnsi="UnitPro-Thin" w:cs="UnitPro-Thin"/>
        </w:rPr>
        <w:t>_____________________________________________________________________________________________________________________________________________________________________________________________________________________________</w:t>
      </w:r>
    </w:p>
    <w:p w:rsidR="00230CA1" w:rsidRDefault="00230CA1" w:rsidP="00230CA1">
      <w:pPr>
        <w:pStyle w:val="Prrafodelista"/>
        <w:autoSpaceDE w:val="0"/>
        <w:autoSpaceDN w:val="0"/>
        <w:adjustRightInd w:val="0"/>
        <w:spacing w:after="0" w:line="240" w:lineRule="auto"/>
        <w:ind w:left="284"/>
        <w:jc w:val="both"/>
        <w:rPr>
          <w:rFonts w:ascii="UnitPro-Thin" w:hAnsi="UnitPro-Thin" w:cs="UnitPro-Thin"/>
        </w:rPr>
      </w:pPr>
    </w:p>
    <w:p w:rsidR="00230CA1" w:rsidRDefault="00230CA1" w:rsidP="00230CA1">
      <w:pPr>
        <w:pStyle w:val="Prrafodelista"/>
        <w:numPr>
          <w:ilvl w:val="0"/>
          <w:numId w:val="3"/>
        </w:numPr>
        <w:autoSpaceDE w:val="0"/>
        <w:autoSpaceDN w:val="0"/>
        <w:adjustRightInd w:val="0"/>
        <w:spacing w:after="0" w:line="240" w:lineRule="auto"/>
        <w:ind w:left="284" w:hanging="284"/>
        <w:rPr>
          <w:rFonts w:ascii="UnitPro-Thin" w:hAnsi="UnitPro-Thin" w:cs="UnitPro-Thin"/>
        </w:rPr>
      </w:pPr>
      <w:r w:rsidRPr="00230CA1">
        <w:rPr>
          <w:rFonts w:ascii="UnitPro-Thin" w:hAnsi="UnitPro-Thin" w:cs="UnitPro-Thin"/>
        </w:rPr>
        <w:t>Durante la fotosíntesis, ¿qué hacen las plantas con el CO</w:t>
      </w:r>
      <w:r w:rsidRPr="00230CA1">
        <w:rPr>
          <w:rFonts w:ascii="UnitPro-Thin" w:hAnsi="UnitPro-Thin" w:cs="UnitPro-Thin"/>
          <w:sz w:val="17"/>
          <w:szCs w:val="17"/>
        </w:rPr>
        <w:t>2</w:t>
      </w:r>
      <w:r w:rsidRPr="00230CA1">
        <w:rPr>
          <w:rFonts w:ascii="UnitPro-Thin" w:hAnsi="UnitPro-Thin" w:cs="UnitPro-Thin"/>
        </w:rPr>
        <w:t>? Los compuestos que</w:t>
      </w:r>
      <w:r>
        <w:rPr>
          <w:rFonts w:ascii="UnitPro-Thin" w:hAnsi="UnitPro-Thin" w:cs="UnitPro-Thin"/>
        </w:rPr>
        <w:t xml:space="preserve"> </w:t>
      </w:r>
      <w:r w:rsidRPr="00230CA1">
        <w:rPr>
          <w:rFonts w:ascii="UnitPro-Thin" w:hAnsi="UnitPro-Thin" w:cs="UnitPro-Thin"/>
        </w:rPr>
        <w:t>producen las plantas durante la fotosíntesis, ¿son orgánicos o inorgánicos?</w:t>
      </w:r>
      <w:r w:rsidR="00AD273E">
        <w:rPr>
          <w:rFonts w:ascii="UnitPro-Thin" w:hAnsi="UnitPro-Thin" w:cs="UnitPro-Thin"/>
        </w:rPr>
        <w:t xml:space="preserve"> (3 </w:t>
      </w:r>
      <w:proofErr w:type="spellStart"/>
      <w:r w:rsidR="00AD273E">
        <w:rPr>
          <w:rFonts w:ascii="UnitPro-Thin" w:hAnsi="UnitPro-Thin" w:cs="UnitPro-Thin"/>
        </w:rPr>
        <w:t>ptos</w:t>
      </w:r>
      <w:proofErr w:type="spellEnd"/>
      <w:r w:rsidR="00AD273E">
        <w:rPr>
          <w:rFonts w:ascii="UnitPro-Thin" w:hAnsi="UnitPro-Thin" w:cs="UnitPro-Thin"/>
        </w:rPr>
        <w:t>)</w:t>
      </w:r>
    </w:p>
    <w:p w:rsidR="003829EB" w:rsidRPr="00230CA1" w:rsidRDefault="003829EB" w:rsidP="003829EB">
      <w:pPr>
        <w:pStyle w:val="Prrafodelista"/>
        <w:autoSpaceDE w:val="0"/>
        <w:autoSpaceDN w:val="0"/>
        <w:adjustRightInd w:val="0"/>
        <w:spacing w:after="0" w:line="240" w:lineRule="auto"/>
        <w:ind w:left="284"/>
        <w:rPr>
          <w:rFonts w:ascii="UnitPro-Thin" w:hAnsi="UnitPro-Thin" w:cs="UnitPro-Thin"/>
        </w:rPr>
      </w:pPr>
      <w:r>
        <w:rPr>
          <w:rFonts w:ascii="UnitPro-Thin" w:hAnsi="UnitPro-Thin" w:cs="UnitPro-Thin"/>
        </w:rPr>
        <w:t>______________________________________________________________________________________________________________________________________________________________________________________________________________________________</w:t>
      </w:r>
    </w:p>
    <w:sectPr w:rsidR="003829EB" w:rsidRPr="00230CA1" w:rsidSect="00AF00E5">
      <w:headerReference w:type="default" r:id="rId10"/>
      <w:footerReference w:type="default" r:id="rId11"/>
      <w:pgSz w:w="12240" w:h="18720" w:code="14"/>
      <w:pgMar w:top="709" w:right="118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5" w:rsidRDefault="00503FF5" w:rsidP="006913E3">
      <w:pPr>
        <w:spacing w:after="0" w:line="240" w:lineRule="auto"/>
      </w:pPr>
      <w:r>
        <w:separator/>
      </w:r>
    </w:p>
  </w:endnote>
  <w:endnote w:type="continuationSeparator" w:id="0">
    <w:p w:rsidR="00503FF5" w:rsidRDefault="00503FF5" w:rsidP="006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t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tPro-Light">
    <w:panose1 w:val="00000000000000000000"/>
    <w:charset w:val="00"/>
    <w:family w:val="swiss"/>
    <w:notTrueType/>
    <w:pitch w:val="default"/>
    <w:sig w:usb0="00000003" w:usb1="00000000" w:usb2="00000000" w:usb3="00000000" w:csb0="00000001" w:csb1="00000000"/>
  </w:font>
  <w:font w:name="UnitPro-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F4" w:rsidRDefault="00CB35F4">
    <w:pPr>
      <w:pStyle w:val="Piedepgina"/>
      <w:pBdr>
        <w:top w:val="thinThickSmallGap" w:sz="24" w:space="1" w:color="622423" w:themeColor="accent2" w:themeShade="7F"/>
      </w:pBdr>
      <w:rPr>
        <w:rFonts w:asciiTheme="majorHAnsi" w:eastAsiaTheme="majorEastAsia" w:hAnsiTheme="majorHAnsi" w:cstheme="majorBidi"/>
      </w:rPr>
    </w:pPr>
    <w:r w:rsidRPr="006913E3">
      <w:t>DEPARTAMENTO DE CIENCIAS, ASIGNATURA DE QUÍMICA</w:t>
    </w:r>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3714DA" w:rsidRPr="003714DA">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6913E3" w:rsidRPr="00CB35F4" w:rsidRDefault="006913E3" w:rsidP="00CB3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5" w:rsidRDefault="00503FF5" w:rsidP="006913E3">
      <w:pPr>
        <w:spacing w:after="0" w:line="240" w:lineRule="auto"/>
      </w:pPr>
      <w:r>
        <w:separator/>
      </w:r>
    </w:p>
  </w:footnote>
  <w:footnote w:type="continuationSeparator" w:id="0">
    <w:p w:rsidR="00503FF5" w:rsidRDefault="00503FF5" w:rsidP="006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3E3" w:rsidRDefault="006913E3" w:rsidP="006913E3">
    <w:pPr>
      <w:tabs>
        <w:tab w:val="center" w:pos="4419"/>
        <w:tab w:val="right" w:pos="8838"/>
      </w:tabs>
      <w:spacing w:after="0"/>
      <w:rPr>
        <w:rFonts w:ascii="Verdana" w:hAnsi="Verdana"/>
        <w:sz w:val="16"/>
        <w:szCs w:val="16"/>
      </w:rPr>
    </w:pPr>
    <w:r w:rsidRPr="00781CE9">
      <w:rPr>
        <w:rFonts w:ascii="Verdana" w:hAnsi="Verdana"/>
        <w:noProof/>
        <w:sz w:val="16"/>
        <w:szCs w:val="16"/>
        <w:lang w:eastAsia="es-CL"/>
      </w:rPr>
      <w:drawing>
        <wp:anchor distT="0" distB="0" distL="114300" distR="114300" simplePos="0" relativeHeight="251659264" behindDoc="1" locked="0" layoutInCell="1" allowOverlap="1" wp14:anchorId="7D0507BF" wp14:editId="450728CA">
          <wp:simplePos x="0" y="0"/>
          <wp:positionH relativeFrom="column">
            <wp:posOffset>-80010</wp:posOffset>
          </wp:positionH>
          <wp:positionV relativeFrom="paragraph">
            <wp:posOffset>-227330</wp:posOffset>
          </wp:positionV>
          <wp:extent cx="504825" cy="695325"/>
          <wp:effectExtent l="0" t="0" r="9525"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pic:spPr>
              </pic:pic>
            </a:graphicData>
          </a:graphic>
          <wp14:sizeRelV relativeFrom="margin">
            <wp14:pctHeight>0</wp14:pctHeight>
          </wp14:sizeRelV>
        </wp:anchor>
      </w:drawing>
    </w:r>
    <w:r>
      <w:rPr>
        <w:rFonts w:ascii="Verdana" w:hAnsi="Verdana"/>
        <w:sz w:val="16"/>
        <w:szCs w:val="16"/>
      </w:rPr>
      <w:t xml:space="preserve">            </w:t>
    </w:r>
    <w:r w:rsidRPr="00781CE9">
      <w:rPr>
        <w:rFonts w:ascii="Verdana" w:hAnsi="Verdana"/>
        <w:sz w:val="16"/>
        <w:szCs w:val="16"/>
      </w:rPr>
      <w:t>Liceo</w:t>
    </w:r>
    <w:r>
      <w:rPr>
        <w:rFonts w:ascii="Verdana" w:hAnsi="Verdana"/>
        <w:sz w:val="16"/>
        <w:szCs w:val="16"/>
      </w:rPr>
      <w:t xml:space="preserve"> Particular Mixto San Felipe</w:t>
    </w:r>
  </w:p>
  <w:p w:rsidR="006913E3" w:rsidRDefault="006913E3" w:rsidP="006913E3">
    <w:pPr>
      <w:tabs>
        <w:tab w:val="center" w:pos="4419"/>
        <w:tab w:val="right" w:pos="8838"/>
      </w:tabs>
      <w:spacing w:after="0"/>
      <w:rPr>
        <w:rFonts w:ascii="Verdana" w:hAnsi="Verdana"/>
        <w:b/>
        <w:i/>
        <w:sz w:val="16"/>
        <w:szCs w:val="16"/>
      </w:rPr>
    </w:pPr>
    <w:r>
      <w:rPr>
        <w:rFonts w:ascii="Verdana" w:hAnsi="Verdana"/>
        <w:sz w:val="16"/>
        <w:szCs w:val="16"/>
      </w:rPr>
      <w:t xml:space="preserve">            </w:t>
    </w:r>
    <w:r w:rsidRPr="00781CE9">
      <w:rPr>
        <w:rFonts w:ascii="Verdana" w:hAnsi="Verdana"/>
        <w:sz w:val="16"/>
        <w:szCs w:val="16"/>
      </w:rPr>
      <w:t>Departamento</w:t>
    </w:r>
    <w:r>
      <w:rPr>
        <w:rFonts w:ascii="Verdana" w:hAnsi="Verdana"/>
        <w:sz w:val="16"/>
        <w:szCs w:val="16"/>
      </w:rPr>
      <w:t xml:space="preserve"> de Ciencias</w:t>
    </w:r>
  </w:p>
  <w:p w:rsidR="006913E3" w:rsidRPr="00E267A0" w:rsidRDefault="006913E3" w:rsidP="006913E3">
    <w:pPr>
      <w:tabs>
        <w:tab w:val="center" w:pos="4419"/>
        <w:tab w:val="right" w:pos="8838"/>
      </w:tabs>
      <w:spacing w:after="0"/>
      <w:rPr>
        <w:rFonts w:ascii="Verdana" w:hAnsi="Verdana"/>
        <w:sz w:val="16"/>
        <w:szCs w:val="16"/>
      </w:rPr>
    </w:pPr>
    <w:r>
      <w:rPr>
        <w:rFonts w:ascii="Verdana" w:hAnsi="Verdana"/>
        <w:sz w:val="16"/>
        <w:szCs w:val="16"/>
      </w:rPr>
      <w:t xml:space="preserve">            </w:t>
    </w:r>
    <w:r w:rsidRPr="007316B9">
      <w:rPr>
        <w:rFonts w:ascii="Verdana" w:hAnsi="Verdana"/>
        <w:sz w:val="16"/>
        <w:szCs w:val="16"/>
      </w:rPr>
      <w:t>Prof. Juan Eduardo Herrera Segura</w:t>
    </w:r>
  </w:p>
  <w:p w:rsidR="006913E3" w:rsidRPr="006913E3" w:rsidRDefault="006913E3" w:rsidP="006913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D672E"/>
    <w:multiLevelType w:val="hybridMultilevel"/>
    <w:tmpl w:val="E88CF4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FF50251"/>
    <w:multiLevelType w:val="hybridMultilevel"/>
    <w:tmpl w:val="99EA2E34"/>
    <w:lvl w:ilvl="0" w:tplc="689EF632">
      <w:start w:val="1"/>
      <w:numFmt w:val="decimal"/>
      <w:lvlText w:val="%1."/>
      <w:lvlJc w:val="left"/>
      <w:pPr>
        <w:ind w:left="720" w:hanging="360"/>
      </w:pPr>
      <w:rPr>
        <w:rFonts w:ascii="UnitPro" w:hAnsi="UnitPro" w:cs="UnitPro" w:hint="default"/>
        <w:color w:val="EE6B5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F78271D"/>
    <w:multiLevelType w:val="hybridMultilevel"/>
    <w:tmpl w:val="E88CF4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6822780"/>
    <w:multiLevelType w:val="hybridMultilevel"/>
    <w:tmpl w:val="01521ED6"/>
    <w:lvl w:ilvl="0" w:tplc="7C509D3E">
      <w:start w:val="1"/>
      <w:numFmt w:val="lowerLetter"/>
      <w:lvlText w:val="%1)"/>
      <w:lvlJc w:val="left"/>
      <w:pPr>
        <w:ind w:left="720" w:hanging="360"/>
      </w:pPr>
      <w:rPr>
        <w:rFonts w:ascii="UnitPro" w:hAnsi="UnitPro" w:cs="UnitPro" w:hint="default"/>
        <w:color w:val="EE6B5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81"/>
    <w:rsid w:val="000D10FA"/>
    <w:rsid w:val="001A7F4A"/>
    <w:rsid w:val="00230CA1"/>
    <w:rsid w:val="00346623"/>
    <w:rsid w:val="003714DA"/>
    <w:rsid w:val="003829EB"/>
    <w:rsid w:val="00503FF5"/>
    <w:rsid w:val="005F0B8A"/>
    <w:rsid w:val="006913E3"/>
    <w:rsid w:val="00AD273E"/>
    <w:rsid w:val="00AF00E5"/>
    <w:rsid w:val="00B45681"/>
    <w:rsid w:val="00CA6262"/>
    <w:rsid w:val="00CB35F4"/>
    <w:rsid w:val="00D11E6A"/>
    <w:rsid w:val="00E267A0"/>
    <w:rsid w:val="00E539B0"/>
    <w:rsid w:val="00ED4F81"/>
    <w:rsid w:val="00F12D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681"/>
    <w:pPr>
      <w:ind w:left="720"/>
      <w:contextualSpacing/>
    </w:pPr>
  </w:style>
  <w:style w:type="paragraph" w:styleId="Textodeglobo">
    <w:name w:val="Balloon Text"/>
    <w:basedOn w:val="Normal"/>
    <w:link w:val="TextodegloboCar"/>
    <w:uiPriority w:val="99"/>
    <w:semiHidden/>
    <w:unhideWhenUsed/>
    <w:rsid w:val="00B45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681"/>
    <w:rPr>
      <w:rFonts w:ascii="Tahoma" w:hAnsi="Tahoma" w:cs="Tahoma"/>
      <w:sz w:val="16"/>
      <w:szCs w:val="16"/>
    </w:rPr>
  </w:style>
  <w:style w:type="table" w:styleId="Tablaconcuadrcula">
    <w:name w:val="Table Grid"/>
    <w:basedOn w:val="Tablanormal"/>
    <w:uiPriority w:val="59"/>
    <w:rsid w:val="000D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6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7A0"/>
  </w:style>
  <w:style w:type="character" w:styleId="Hipervnculo">
    <w:name w:val="Hyperlink"/>
    <w:basedOn w:val="Fuentedeprrafopredeter"/>
    <w:uiPriority w:val="99"/>
    <w:unhideWhenUsed/>
    <w:rsid w:val="00F12D13"/>
    <w:rPr>
      <w:color w:val="0000FF" w:themeColor="hyperlink"/>
      <w:u w:val="single"/>
    </w:rPr>
  </w:style>
  <w:style w:type="paragraph" w:styleId="Piedepgina">
    <w:name w:val="footer"/>
    <w:basedOn w:val="Normal"/>
    <w:link w:val="PiedepginaCar"/>
    <w:uiPriority w:val="99"/>
    <w:unhideWhenUsed/>
    <w:rsid w:val="00691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3E3"/>
  </w:style>
  <w:style w:type="paragraph" w:styleId="Sinespaciado">
    <w:name w:val="No Spacing"/>
    <w:link w:val="SinespaciadoCar"/>
    <w:uiPriority w:val="1"/>
    <w:qFormat/>
    <w:rsid w:val="006913E3"/>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6913E3"/>
    <w:rPr>
      <w:rFonts w:eastAsiaTheme="minorEastAsia"/>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681"/>
    <w:pPr>
      <w:ind w:left="720"/>
      <w:contextualSpacing/>
    </w:pPr>
  </w:style>
  <w:style w:type="paragraph" w:styleId="Textodeglobo">
    <w:name w:val="Balloon Text"/>
    <w:basedOn w:val="Normal"/>
    <w:link w:val="TextodegloboCar"/>
    <w:uiPriority w:val="99"/>
    <w:semiHidden/>
    <w:unhideWhenUsed/>
    <w:rsid w:val="00B45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681"/>
    <w:rPr>
      <w:rFonts w:ascii="Tahoma" w:hAnsi="Tahoma" w:cs="Tahoma"/>
      <w:sz w:val="16"/>
      <w:szCs w:val="16"/>
    </w:rPr>
  </w:style>
  <w:style w:type="table" w:styleId="Tablaconcuadrcula">
    <w:name w:val="Table Grid"/>
    <w:basedOn w:val="Tablanormal"/>
    <w:uiPriority w:val="59"/>
    <w:rsid w:val="000D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6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7A0"/>
  </w:style>
  <w:style w:type="character" w:styleId="Hipervnculo">
    <w:name w:val="Hyperlink"/>
    <w:basedOn w:val="Fuentedeprrafopredeter"/>
    <w:uiPriority w:val="99"/>
    <w:unhideWhenUsed/>
    <w:rsid w:val="00F12D13"/>
    <w:rPr>
      <w:color w:val="0000FF" w:themeColor="hyperlink"/>
      <w:u w:val="single"/>
    </w:rPr>
  </w:style>
  <w:style w:type="paragraph" w:styleId="Piedepgina">
    <w:name w:val="footer"/>
    <w:basedOn w:val="Normal"/>
    <w:link w:val="PiedepginaCar"/>
    <w:uiPriority w:val="99"/>
    <w:unhideWhenUsed/>
    <w:rsid w:val="00691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3E3"/>
  </w:style>
  <w:style w:type="paragraph" w:styleId="Sinespaciado">
    <w:name w:val="No Spacing"/>
    <w:link w:val="SinespaciadoCar"/>
    <w:uiPriority w:val="1"/>
    <w:qFormat/>
    <w:rsid w:val="006913E3"/>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6913E3"/>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rrera@liceomixto.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Herrera</dc:creator>
  <cp:lastModifiedBy>Juan Herrera</cp:lastModifiedBy>
  <cp:revision>4</cp:revision>
  <dcterms:created xsi:type="dcterms:W3CDTF">2020-03-16T20:00:00Z</dcterms:created>
  <dcterms:modified xsi:type="dcterms:W3CDTF">2020-03-17T00:20:00Z</dcterms:modified>
</cp:coreProperties>
</file>